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_rels/header1.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i/>
          <w:i/>
          <w:highlight w:val="yellow"/>
          <w:u w:val="single"/>
        </w:rPr>
      </w:pPr>
      <w:r>
        <w:rPr>
          <w:rFonts w:eastAsia="Calibri" w:cs="" w:cstheme="minorBidi" w:eastAsiaTheme="minorHAnsi"/>
          <w:b/>
          <w:i/>
          <w:u w:val="single"/>
          <w:shd w:fill="auto" w:val="clear"/>
        </w:rPr>
        <w:t xml:space="preserve">Mod 6   </w:t>
      </w:r>
      <w:r>
        <w:rPr>
          <w:b/>
          <w:i/>
          <w:highlight w:val="yellow"/>
          <w:u w:val="single"/>
        </w:rPr>
        <w:t xml:space="preserve"> Solo in caso di applicazione di CCNL diverso da quello indicato dalla Stazione appaltante</w:t>
      </w:r>
    </w:p>
    <w:p>
      <w:pPr>
        <w:pStyle w:val="Normal"/>
        <w:jc w:val="center"/>
        <w:rPr/>
      </w:pPr>
      <w:r>
        <w:rPr>
          <w:b/>
          <w:color w:val="000000"/>
        </w:rPr>
        <w:t>“</w:t>
      </w:r>
      <w:r>
        <w:rPr>
          <w:b/>
          <w:color w:val="000000"/>
        </w:rPr>
        <w:t>PIANO NAZIONALE DI RIPRESA E RESILIENZA (PNRR) - “REALIZZAZIONE DI SPAZI PUBBLICI NEL CENTRO STORICO DI SASSARI: RIQUALIFICAZIONE PIAZZA SANT’ANTONIO” - MISURA M5C2 I2.3.1 PINQUA - FINANZIATO DALL'UNIONE EUROPEA - NEXT GENERATION EU”</w:t>
      </w:r>
    </w:p>
    <w:p>
      <w:pPr>
        <w:pStyle w:val="Normal"/>
        <w:jc w:val="center"/>
        <w:rPr/>
      </w:pPr>
      <w:r>
        <w:rPr>
          <w:b/>
          <w:color w:val="000000"/>
        </w:rPr>
        <w:t>CUP B85I21000020001</w:t>
      </w:r>
    </w:p>
    <w:p>
      <w:pPr>
        <w:pStyle w:val="Normal"/>
        <w:jc w:val="center"/>
        <w:rPr/>
      </w:pPr>
      <w:r>
        <w:rPr>
          <w:b/>
          <w:color w:val="000000"/>
        </w:rPr>
        <w:t xml:space="preserve">CIG  B733E6570F </w:t>
      </w:r>
    </w:p>
    <w:p>
      <w:pPr>
        <w:pStyle w:val="Normal"/>
        <w:spacing w:lineRule="auto" w:line="240" w:before="0" w:after="0"/>
        <w:jc w:val="center"/>
        <w:rPr>
          <w:rFonts w:ascii="Times New Roman" w:hAnsi="Times New Roman"/>
          <w:b/>
          <w:u w:val="single"/>
        </w:rPr>
      </w:pPr>
      <w:r>
        <w:rPr>
          <w:rFonts w:ascii="Times New Roman" w:hAnsi="Times New Roman"/>
          <w:b/>
          <w:u w:val="single"/>
        </w:rPr>
      </w:r>
    </w:p>
    <w:p>
      <w:pPr>
        <w:pStyle w:val="Normal"/>
        <w:jc w:val="both"/>
        <w:rPr/>
      </w:pPr>
      <w:r>
        <w:rPr/>
        <w:t>Il Sottoscritto/a,</w:t>
      </w:r>
    </w:p>
    <w:tbl>
      <w:tblPr>
        <w:tblW w:w="9919" w:type="dxa"/>
        <w:jc w:val="left"/>
        <w:tblInd w:w="-5" w:type="dxa"/>
        <w:tblLayout w:type="fixed"/>
        <w:tblCellMar>
          <w:top w:w="55" w:type="dxa"/>
          <w:left w:w="55" w:type="dxa"/>
          <w:bottom w:w="55" w:type="dxa"/>
          <w:right w:w="55" w:type="dxa"/>
        </w:tblCellMar>
      </w:tblPr>
      <w:tblGrid>
        <w:gridCol w:w="4023"/>
        <w:gridCol w:w="5895"/>
      </w:tblGrid>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Nome e Cognome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Nato il e luogo</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0"/>
                <w:szCs w:val="20"/>
                <w:u w:val="none"/>
              </w:rPr>
              <w:t>In qualità di</w:t>
            </w:r>
            <w:r>
              <w:rPr>
                <w:rFonts w:ascii="Liberation Serif" w:hAnsi="Liberation Serif"/>
                <w:b w:val="false"/>
                <w:bCs w:val="false"/>
                <w:i w:val="false"/>
                <w:iCs w:val="false"/>
                <w:strike w:val="false"/>
                <w:dstrike w:val="false"/>
                <w:outline w:val="false"/>
                <w:shadow w:val="false"/>
                <w:color w:val="000000"/>
                <w:sz w:val="24"/>
                <w:szCs w:val="24"/>
                <w:u w:val="none"/>
              </w:rPr>
              <w:t xml:space="preserve"> (</w:t>
            </w:r>
            <w:r>
              <w:rPr>
                <w:rFonts w:ascii="Times" w:hAnsi="Times"/>
                <w:b w:val="false"/>
                <w:bCs w:val="false"/>
                <w:i w:val="false"/>
                <w:iCs w:val="false"/>
                <w:strike w:val="false"/>
                <w:dstrike w:val="false"/>
                <w:outline w:val="false"/>
                <w:shadow w:val="false"/>
                <w:color w:val="000000"/>
                <w:sz w:val="16"/>
                <w:szCs w:val="16"/>
                <w:u w:val="none"/>
              </w:rPr>
              <w:t>Legale rappresentante/titolare/procuratore)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Società (inserire denominazione completa)</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Sede legale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 / partita IVA</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bl>
    <w:p>
      <w:pPr>
        <w:pStyle w:val="Normal"/>
        <w:jc w:val="both"/>
        <w:rPr/>
      </w:pPr>
      <w:r>
        <w:rPr/>
      </w:r>
    </w:p>
    <w:p>
      <w:pPr>
        <w:pStyle w:val="Normal"/>
        <w:jc w:val="center"/>
        <w:rPr>
          <w:b/>
        </w:rPr>
      </w:pPr>
      <w:r>
        <w:rPr>
          <w:b/>
        </w:rPr>
        <w:t>DICHIARA</w:t>
      </w:r>
    </w:p>
    <w:p>
      <w:pPr>
        <w:pStyle w:val="Normal"/>
        <w:jc w:val="both"/>
        <w:rPr>
          <w:b/>
        </w:rPr>
      </w:pPr>
      <w:r>
        <w:rPr>
          <w:b/>
        </w:rPr>
        <w:t xml:space="preserve"> </w:t>
      </w:r>
      <w:r>
        <w:rPr>
          <w:b/>
        </w:rPr>
        <w:t>l’equivalenza delle tutele normative  fra il CCNL _______________ che si intende applicare all’appalto e il CCNL individuato dalla Stazione appaltante  rispetto ai seguenti parametri:</w:t>
      </w:r>
    </w:p>
    <w:p>
      <w:pPr>
        <w:pStyle w:val="Normal"/>
        <w:jc w:val="both"/>
        <w:rPr>
          <w:u w:val="single"/>
        </w:rPr>
      </w:pPr>
      <w:r>
        <w:rPr>
          <w:u w:val="single"/>
        </w:rPr>
      </w:r>
    </w:p>
    <w:p>
      <w:pPr>
        <w:pStyle w:val="Normal"/>
        <w:jc w:val="both"/>
        <w:rPr>
          <w:u w:val="single"/>
        </w:rPr>
      </w:pPr>
      <w:r>
        <w:rPr>
          <w:u w:val="single"/>
        </w:rPr>
        <w:t>PARTE ECONOMICA (compilare i seguenti campi):</w:t>
      </w:r>
    </w:p>
    <w:tbl>
      <w:tblPr>
        <w:tblW w:w="9919" w:type="dxa"/>
        <w:jc w:val="left"/>
        <w:tblInd w:w="-5" w:type="dxa"/>
        <w:tblLayout w:type="fixed"/>
        <w:tblCellMar>
          <w:top w:w="55" w:type="dxa"/>
          <w:left w:w="55" w:type="dxa"/>
          <w:bottom w:w="55" w:type="dxa"/>
          <w:right w:w="55" w:type="dxa"/>
        </w:tblCellMar>
      </w:tblPr>
      <w:tblGrid>
        <w:gridCol w:w="4818"/>
        <w:gridCol w:w="5100"/>
      </w:tblGrid>
      <w:tr>
        <w:trPr/>
        <w:tc>
          <w:tcPr>
            <w:tcW w:w="4818" w:type="dxa"/>
            <w:tcBorders>
              <w:top w:val="single" w:sz="4" w:space="0" w:color="000000"/>
              <w:left w:val="single" w:sz="4" w:space="0" w:color="000000"/>
              <w:bottom w:val="single" w:sz="4" w:space="0" w:color="000000"/>
            </w:tcBorders>
          </w:tcPr>
          <w:p>
            <w:pPr>
              <w:pStyle w:val="Normal"/>
              <w:widowControl w:val="false"/>
              <w:spacing w:before="0" w:after="160"/>
              <w:jc w:val="both"/>
              <w:rPr/>
            </w:pPr>
            <w:r>
              <w:rPr/>
              <w:t>a) retribuzione tabellare annuale:</w:t>
            </w:r>
          </w:p>
        </w:tc>
        <w:tc>
          <w:tcPr>
            <w:tcW w:w="5100"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b) indennità di contingenza:</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c) elemento distinto della retribuzione (EDR):</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d) eventuali mensilità aggiuntive: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e) eventuali ulteriori indennità previste: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bl>
    <w:p>
      <w:pPr>
        <w:pStyle w:val="Normal"/>
        <w:jc w:val="both"/>
        <w:rPr/>
      </w:pPr>
      <w:r>
        <w:rPr/>
      </w:r>
    </w:p>
    <w:p>
      <w:pPr>
        <w:pStyle w:val="Normal"/>
        <w:jc w:val="both"/>
        <w:rPr>
          <w:u w:val="single"/>
        </w:rPr>
      </w:pPr>
      <w:r>
        <w:rPr>
          <w:u w:val="single"/>
        </w:rPr>
        <w:t xml:space="preserve">PARTE NORMATIVA: </w:t>
      </w:r>
      <w:r>
        <w:rPr>
          <w:b w:val="false"/>
          <w:bCs w:val="false"/>
          <w:i/>
          <w:sz w:val="20"/>
          <w:szCs w:val="20"/>
          <w:u w:val="single"/>
        </w:rPr>
        <w:t>(barrare ove vi è equivalenza e indicare gli articoli applicati)</w:t>
      </w:r>
    </w:p>
    <w:p>
      <w:pPr>
        <w:pStyle w:val="Normal"/>
        <w:jc w:val="both"/>
        <w:rPr/>
      </w:pPr>
      <w:r>
        <w:rPr>
          <w:rFonts w:eastAsia="Wingdings 2" w:cs="Wingdings 2" w:ascii="Wingdings 2" w:hAnsi="Wingdings 2"/>
        </w:rPr>
        <w:t xml:space="preserve"> </w:t>
      </w:r>
      <w:r>
        <w:rPr/>
        <w:t>la disciplina concernente il lavoro supplementare e le clausole elastiche nel part-time;</w:t>
      </w:r>
    </w:p>
    <w:p>
      <w:pPr>
        <w:pStyle w:val="Normal"/>
        <w:jc w:val="both"/>
        <w:rPr/>
      </w:pPr>
      <w:r>
        <w:rPr/>
        <mc:AlternateContent>
          <mc:Choice Requires="wps">
            <w:drawing>
              <wp:anchor behindDoc="0" distT="3175" distB="3175" distL="3810" distR="2540" simplePos="0" locked="0" layoutInCell="1" allowOverlap="1" relativeHeight="5" wp14:anchorId="6116F9E4">
                <wp:simplePos x="0" y="0"/>
                <wp:positionH relativeFrom="column">
                  <wp:posOffset>30480</wp:posOffset>
                </wp:positionH>
                <wp:positionV relativeFrom="paragraph">
                  <wp:posOffset>10795</wp:posOffset>
                </wp:positionV>
                <wp:extent cx="6288405" cy="655320"/>
                <wp:effectExtent l="3810" t="3175" r="2540" b="3175"/>
                <wp:wrapNone/>
                <wp:docPr id="1" name="Casella di testo 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spacing w:before="0" w:after="160"/>
                              <w:jc w:val="both"/>
                              <w:rPr>
                                <w:color w:val="000000"/>
                              </w:rPr>
                            </w:pPr>
                            <w:r>
                              <w:rPr>
                                <w:color w:val="000000"/>
                              </w:rPr>
                              <w:t>Indica i seguenti articoli del CCNL applicato:</w:t>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2.4pt;margin-top:0.85pt;width:495.1pt;height:51.55pt;mso-wrap-style:square;v-text-anchor:top" wp14:anchorId="6116F9E4">
                <v:fill o:detectmouseclick="t" type="solid" color2="black"/>
                <v:stroke color="black" weight="6480" joinstyle="round" endcap="flat"/>
                <v:textbox>
                  <w:txbxContent>
                    <w:p>
                      <w:pPr>
                        <w:pStyle w:val="Contenutocornice"/>
                        <w:spacing w:before="0" w:after="160"/>
                        <w:jc w:val="both"/>
                        <w:rPr>
                          <w:color w:val="000000"/>
                        </w:rPr>
                      </w:pPr>
                      <w:r>
                        <w:rPr>
                          <w:color w:val="000000"/>
                        </w:rPr>
                        <w:t>Indica i seguenti articoli del CCNL applicato:</w:t>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 e la disciplina compensativa relativa alle festività soppresse;</w:t>
      </w:r>
    </w:p>
    <w:p>
      <w:pPr>
        <w:pStyle w:val="Normal"/>
        <w:jc w:val="both"/>
        <w:rPr/>
      </w:pPr>
      <w:r>
        <w:rPr/>
        <mc:AlternateContent>
          <mc:Choice Requires="wps">
            <w:drawing>
              <wp:anchor behindDoc="0" distT="3175" distB="3175" distL="3810" distR="2540" simplePos="0" locked="0" layoutInCell="1" allowOverlap="1" relativeHeight="7" wp14:anchorId="6F21563D">
                <wp:simplePos x="0" y="0"/>
                <wp:positionH relativeFrom="column">
                  <wp:posOffset>0</wp:posOffset>
                </wp:positionH>
                <wp:positionV relativeFrom="paragraph">
                  <wp:posOffset>635</wp:posOffset>
                </wp:positionV>
                <wp:extent cx="6288405" cy="655320"/>
                <wp:effectExtent l="3810" t="3175" r="2540" b="3175"/>
                <wp:wrapNone/>
                <wp:docPr id="2" name="Casella di testo 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2" path="m0,0l-2147483645,0l-2147483645,-2147483646l0,-2147483646xe" fillcolor="white" stroked="t" o:allowincell="f" style="position:absolute;margin-left:0pt;margin-top:0.05pt;width:495.1pt;height:51.55pt;mso-wrap-style:square;v-text-anchor:top" wp14:anchorId="6F21563D">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t>- la disciplina compensativa delle ex festività soppresse, che normalmente avviene attraverso il riconoscimento di permessi individuali;</w:t>
      </w:r>
    </w:p>
    <w:p>
      <w:pPr>
        <w:pStyle w:val="Normal"/>
        <w:jc w:val="both"/>
        <w:rPr/>
      </w:pPr>
      <w:r>
        <w:rPr>
          <w:rFonts w:eastAsia="Wingdings 2" w:cs="Wingdings 2" w:ascii="Wingdings 2" w:hAnsi="Wingdings 2"/>
        </w:rPr>
        <w:t xml:space="preserve"> </w:t>
      </w:r>
      <w:r>
        <w:rPr/>
        <w:t>la durata del periodo di prova;</w:t>
      </w:r>
    </w:p>
    <w:p>
      <w:pPr>
        <w:pStyle w:val="Normal"/>
        <w:jc w:val="both"/>
        <w:rPr/>
      </w:pPr>
      <w:r>
        <w:rPr/>
        <mc:AlternateContent>
          <mc:Choice Requires="wps">
            <w:drawing>
              <wp:anchor behindDoc="0" distT="3175" distB="3175" distL="3810" distR="2540" simplePos="0" locked="0" layoutInCell="1" allowOverlap="1" relativeHeight="9" wp14:anchorId="3EC74DF8">
                <wp:simplePos x="0" y="0"/>
                <wp:positionH relativeFrom="column">
                  <wp:posOffset>0</wp:posOffset>
                </wp:positionH>
                <wp:positionV relativeFrom="paragraph">
                  <wp:posOffset>635</wp:posOffset>
                </wp:positionV>
                <wp:extent cx="6288405" cy="655320"/>
                <wp:effectExtent l="3810" t="3175" r="2540" b="3175"/>
                <wp:wrapNone/>
                <wp:docPr id="3" name="Casella di testo 5"/>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5" path="m0,0l-2147483645,0l-2147483645,-2147483646l0,-2147483646xe" fillcolor="white" stroked="t" o:allowincell="f" style="position:absolute;margin-left:0pt;margin-top:0.05pt;width:495.1pt;height:51.55pt;mso-wrap-style:square;v-text-anchor:top" wp14:anchorId="3EC74DF8">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durata del periodo di preavviso;</w:t>
      </w:r>
    </w:p>
    <w:p>
      <w:pPr>
        <w:pStyle w:val="Normal"/>
        <w:jc w:val="both"/>
        <w:rPr/>
      </w:pPr>
      <w:r>
        <w:rPr/>
        <mc:AlternateContent>
          <mc:Choice Requires="wps">
            <w:drawing>
              <wp:anchor behindDoc="0" distT="3175" distB="3175" distL="3810" distR="2540" simplePos="0" locked="0" layoutInCell="1" allowOverlap="1" relativeHeight="11" wp14:anchorId="4A83EA19">
                <wp:simplePos x="0" y="0"/>
                <wp:positionH relativeFrom="column">
                  <wp:posOffset>0</wp:posOffset>
                </wp:positionH>
                <wp:positionV relativeFrom="paragraph">
                  <wp:posOffset>635</wp:posOffset>
                </wp:positionV>
                <wp:extent cx="6288405" cy="655320"/>
                <wp:effectExtent l="3810" t="3175" r="2540" b="3175"/>
                <wp:wrapNone/>
                <wp:docPr id="4" name="Casella di testo 6"/>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6" path="m0,0l-2147483645,0l-2147483645,-2147483646l0,-2147483646xe" fillcolor="white" stroked="t" o:allowincell="f" style="position:absolute;margin-left:0pt;margin-top:0.05pt;width:495.1pt;height:51.55pt;mso-wrap-style:square;v-text-anchor:top" wp14:anchorId="4A83EA1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durata del periodo di comporto in caso di malattia e infortunio;</w:t>
      </w:r>
    </w:p>
    <w:p>
      <w:pPr>
        <w:pStyle w:val="Normal"/>
        <w:jc w:val="both"/>
        <w:rPr/>
      </w:pPr>
      <w:r>
        <w:rPr/>
        <mc:AlternateContent>
          <mc:Choice Requires="wps">
            <w:drawing>
              <wp:anchor behindDoc="0" distT="3175" distB="3175" distL="3810" distR="2540" simplePos="0" locked="0" layoutInCell="1" allowOverlap="1" relativeHeight="13" wp14:anchorId="640A8B29">
                <wp:simplePos x="0" y="0"/>
                <wp:positionH relativeFrom="column">
                  <wp:posOffset>0</wp:posOffset>
                </wp:positionH>
                <wp:positionV relativeFrom="paragraph">
                  <wp:posOffset>-635</wp:posOffset>
                </wp:positionV>
                <wp:extent cx="6288405" cy="655320"/>
                <wp:effectExtent l="3810" t="3175" r="2540" b="3175"/>
                <wp:wrapNone/>
                <wp:docPr id="5" name="Casella di testo 7"/>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7" path="m0,0l-2147483645,0l-2147483645,-2147483646l0,-2147483646xe" fillcolor="white" stroked="t" o:allowincell="f" style="position:absolute;margin-left:0pt;margin-top:-0.05pt;width:495.1pt;height:51.55pt;mso-wrap-style:square;v-text-anchor:top" wp14:anchorId="640A8B2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rFonts w:ascii="Wingdings 2" w:hAnsi="Wingdings 2" w:eastAsia="Wingdings 2" w:cs="Wingdings 2"/>
        </w:rPr>
      </w:pPr>
      <w:r>
        <w:rPr>
          <w:rFonts w:eastAsia="Wingdings 2" w:cs="Wingdings 2" w:ascii="Wingdings 2" w:hAnsi="Wingdings 2"/>
        </w:rPr>
      </w:r>
    </w:p>
    <w:p>
      <w:pPr>
        <w:pStyle w:val="Normal"/>
        <w:jc w:val="both"/>
        <w:rPr/>
      </w:pPr>
      <w:r>
        <w:rPr>
          <w:rFonts w:eastAsia="Wingdings 2" w:cs="Wingdings 2" w:ascii="Wingdings 2" w:hAnsi="Wingdings 2"/>
        </w:rPr>
        <w:t xml:space="preserve"> </w:t>
      </w:r>
      <w:r>
        <w:rPr/>
        <w:t>malattia e infortunio, con particolare riferimento al riconoscimento di un’eventuale integrazione delle relative indennità;</w:t>
      </w:r>
    </w:p>
    <w:p>
      <w:pPr>
        <w:pStyle w:val="Normal"/>
        <w:jc w:val="both"/>
        <w:rPr/>
      </w:pPr>
      <w:r>
        <w:rPr/>
        <mc:AlternateContent>
          <mc:Choice Requires="wps">
            <w:drawing>
              <wp:anchor behindDoc="0" distT="3175" distB="3175" distL="3810" distR="2540" simplePos="0" locked="0" layoutInCell="1" allowOverlap="1" relativeHeight="15" wp14:anchorId="4F9A8516">
                <wp:simplePos x="0" y="0"/>
                <wp:positionH relativeFrom="column">
                  <wp:posOffset>0</wp:posOffset>
                </wp:positionH>
                <wp:positionV relativeFrom="paragraph">
                  <wp:posOffset>-635</wp:posOffset>
                </wp:positionV>
                <wp:extent cx="6288405" cy="655320"/>
                <wp:effectExtent l="3810" t="3175" r="2540" b="3175"/>
                <wp:wrapNone/>
                <wp:docPr id="6" name="Casella di testo 9"/>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9" path="m0,0l-2147483645,0l-2147483645,-2147483646l0,-2147483646xe" fillcolor="white" stroked="t" o:allowincell="f" style="position:absolute;margin-left:0pt;margin-top:-0.05pt;width:495.1pt;height:51.55pt;mso-wrap-style:square;v-text-anchor:top" wp14:anchorId="4F9A85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maternità ed eventuale riconoscimento di un’integrazione della relativa indennità per astensione obbligatoria e facoltativa;</w:t>
      </w:r>
    </w:p>
    <w:p>
      <w:pPr>
        <w:pStyle w:val="Normal"/>
        <w:jc w:val="both"/>
        <w:rPr/>
      </w:pPr>
      <w:r>
        <w:rPr/>
        <mc:AlternateContent>
          <mc:Choice Requires="wps">
            <w:drawing>
              <wp:anchor behindDoc="0" distT="3175" distB="3175" distL="3810" distR="2540" simplePos="0" locked="0" layoutInCell="1" allowOverlap="1" relativeHeight="17" wp14:anchorId="2425A566">
                <wp:simplePos x="0" y="0"/>
                <wp:positionH relativeFrom="column">
                  <wp:posOffset>0</wp:posOffset>
                </wp:positionH>
                <wp:positionV relativeFrom="paragraph">
                  <wp:posOffset>635</wp:posOffset>
                </wp:positionV>
                <wp:extent cx="6288405" cy="655320"/>
                <wp:effectExtent l="3810" t="3175" r="2540" b="3175"/>
                <wp:wrapNone/>
                <wp:docPr id="7" name="Casella di testo 10"/>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0" path="m0,0l-2147483645,0l-2147483645,-2147483646l0,-2147483646xe" fillcolor="white" stroked="t" o:allowincell="f" style="position:absolute;margin-left:0pt;margin-top:0.05pt;width:495.1pt;height:51.55pt;mso-wrap-style:square;v-text-anchor:top" wp14:anchorId="2425A56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monte ore di permessi retribuiti;</w:t>
      </w:r>
    </w:p>
    <w:p>
      <w:pPr>
        <w:pStyle w:val="Normal"/>
        <w:jc w:val="both"/>
        <w:rPr/>
      </w:pPr>
      <w:r>
        <w:rPr/>
        <mc:AlternateContent>
          <mc:Choice Requires="wps">
            <w:drawing>
              <wp:anchor behindDoc="0" distT="3175" distB="3175" distL="3810" distR="2540" simplePos="0" locked="0" layoutInCell="1" allowOverlap="1" relativeHeight="19" wp14:anchorId="6671A547">
                <wp:simplePos x="0" y="0"/>
                <wp:positionH relativeFrom="column">
                  <wp:posOffset>0</wp:posOffset>
                </wp:positionH>
                <wp:positionV relativeFrom="paragraph">
                  <wp:posOffset>-635</wp:posOffset>
                </wp:positionV>
                <wp:extent cx="6288405" cy="655320"/>
                <wp:effectExtent l="3810" t="3175" r="2540" b="3175"/>
                <wp:wrapNone/>
                <wp:docPr id="8" name="Casella di testo 1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1" path="m0,0l-2147483645,0l-2147483645,-2147483646l0,-2147483646xe" fillcolor="white" stroked="t" o:allowincell="f" style="position:absolute;margin-left:0pt;margin-top:-0.05pt;width:495.1pt;height:51.55pt;mso-wrap-style:square;v-text-anchor:top" wp14:anchorId="6671A54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bilateralità;</w:t>
      </w:r>
    </w:p>
    <w:p>
      <w:pPr>
        <w:pStyle w:val="Normal"/>
        <w:jc w:val="both"/>
        <w:rPr/>
      </w:pPr>
      <w:r>
        <w:rPr/>
        <mc:AlternateContent>
          <mc:Choice Requires="wps">
            <w:drawing>
              <wp:anchor behindDoc="0" distT="3175" distB="3175" distL="3810" distR="2540" simplePos="0" locked="0" layoutInCell="1" allowOverlap="1" relativeHeight="21" wp14:anchorId="64A81C16">
                <wp:simplePos x="0" y="0"/>
                <wp:positionH relativeFrom="column">
                  <wp:posOffset>0</wp:posOffset>
                </wp:positionH>
                <wp:positionV relativeFrom="paragraph">
                  <wp:posOffset>-635</wp:posOffset>
                </wp:positionV>
                <wp:extent cx="6288405" cy="655320"/>
                <wp:effectExtent l="3810" t="3175" r="2540" b="3175"/>
                <wp:wrapNone/>
                <wp:docPr id="9" name="Casella di testo 1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2" path="m0,0l-2147483645,0l-2147483645,-2147483646l0,-2147483646xe" fillcolor="white" stroked="t" o:allowincell="f" style="position:absolute;margin-left:0pt;margin-top:-0.05pt;width:495.1pt;height:51.55pt;mso-wrap-style:square;v-text-anchor:top" wp14:anchorId="64A81C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previdenza integrativa;</w:t>
      </w:r>
    </w:p>
    <w:p>
      <w:pPr>
        <w:pStyle w:val="Normal"/>
        <w:jc w:val="both"/>
        <w:rPr/>
      </w:pPr>
      <w:r>
        <w:rPr/>
        <mc:AlternateContent>
          <mc:Choice Requires="wps">
            <w:drawing>
              <wp:anchor behindDoc="0" distT="3175" distB="3175" distL="3810" distR="2540" simplePos="0" locked="0" layoutInCell="1" allowOverlap="1" relativeHeight="23" wp14:anchorId="5EBC23D7">
                <wp:simplePos x="0" y="0"/>
                <wp:positionH relativeFrom="column">
                  <wp:posOffset>0</wp:posOffset>
                </wp:positionH>
                <wp:positionV relativeFrom="paragraph">
                  <wp:posOffset>635</wp:posOffset>
                </wp:positionV>
                <wp:extent cx="6288405" cy="655320"/>
                <wp:effectExtent l="3810" t="3175" r="2540" b="3175"/>
                <wp:wrapNone/>
                <wp:docPr id="10" name="Casella di testo 13"/>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3" path="m0,0l-2147483645,0l-2147483645,-2147483646l0,-2147483646xe" fillcolor="white" stroked="t" o:allowincell="f" style="position:absolute;margin-left:0pt;margin-top:0.05pt;width:495.1pt;height:51.55pt;mso-wrap-style:square;v-text-anchor:top" wp14:anchorId="5EBC23D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sanità integrativa;</w:t>
      </w:r>
    </w:p>
    <w:p>
      <w:pPr>
        <w:pStyle w:val="Normal"/>
        <w:jc w:val="both"/>
        <w:rPr/>
      </w:pPr>
      <w:r>
        <w:rPr/>
        <mc:AlternateContent>
          <mc:Choice Requires="wps">
            <w:drawing>
              <wp:anchor behindDoc="0" distT="3175" distB="3175" distL="3810" distR="2540" simplePos="0" locked="0" layoutInCell="1" allowOverlap="1" relativeHeight="25" wp14:anchorId="146D467F">
                <wp:simplePos x="0" y="0"/>
                <wp:positionH relativeFrom="column">
                  <wp:posOffset>0</wp:posOffset>
                </wp:positionH>
                <wp:positionV relativeFrom="paragraph">
                  <wp:posOffset>635</wp:posOffset>
                </wp:positionV>
                <wp:extent cx="6288405" cy="655320"/>
                <wp:effectExtent l="3810" t="3175" r="2540" b="3175"/>
                <wp:wrapNone/>
                <wp:docPr id="11" name="Casella di testo 14"/>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4" path="m0,0l-2147483645,0l-2147483645,-2147483646l0,-2147483646xe" fillcolor="white" stroked="t" o:allowincell="f" style="position:absolute;margin-left:0pt;margin-top:0.05pt;width:495.1pt;height:51.55pt;mso-wrap-style:square;v-text-anchor:top" wp14:anchorId="146D467F">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b/>
        </w:rPr>
      </w:pPr>
      <w:r>
        <w:rPr>
          <w:b/>
        </w:rPr>
      </w:r>
    </w:p>
    <w:p>
      <w:pPr>
        <w:pStyle w:val="Normal"/>
        <w:jc w:val="both"/>
        <w:rPr>
          <w:b/>
        </w:rPr>
      </w:pPr>
      <w:r>
        <w:rPr>
          <w:b/>
        </w:rPr>
      </w:r>
    </w:p>
    <w:p>
      <w:pPr>
        <w:pStyle w:val="Normal"/>
        <w:jc w:val="both"/>
        <w:rPr/>
      </w:pPr>
      <w:r>
        <w:rPr/>
      </w:r>
    </w:p>
    <w:p>
      <w:pPr>
        <w:pStyle w:val="Normal"/>
        <w:jc w:val="both"/>
        <w:rPr>
          <w:b/>
        </w:rPr>
      </w:pPr>
      <w:r>
        <w:rPr>
          <w:b/>
        </w:rPr>
        <w:t>Il concorrente allega copia del CCNL applicato.</w:t>
      </w:r>
    </w:p>
    <w:p>
      <w:pPr>
        <w:pStyle w:val="Normal"/>
        <w:ind w:left="5664" w:firstLine="708"/>
        <w:jc w:val="both"/>
        <w:rPr>
          <w:rFonts w:ascii="Garamond" w:hAnsi="Garamond"/>
        </w:rPr>
      </w:pPr>
      <w:r>
        <w:rPr>
          <w:rFonts w:ascii="Garamond" w:hAnsi="Garamond"/>
        </w:rPr>
        <w:t>Firma digitale</w:t>
      </w:r>
    </w:p>
    <w:p>
      <w:pPr>
        <w:pStyle w:val="Normal"/>
        <w:ind w:left="4828" w:hanging="0"/>
        <w:jc w:val="both"/>
        <w:rPr>
          <w:rFonts w:ascii="Garamond" w:hAnsi="Garamond"/>
        </w:rPr>
      </w:pPr>
      <w:r>
        <w:rPr>
          <w:rFonts w:ascii="Garamond" w:hAnsi="Garamond"/>
        </w:rPr>
        <w:tab/>
        <w:tab/>
        <w:tab/>
        <w:tab/>
        <w:tab/>
        <w:tab/>
        <w:tab/>
        <w:tab/>
        <w:t xml:space="preserve">        ______________________________________</w:t>
      </w:r>
    </w:p>
    <w:p>
      <w:pPr>
        <w:pStyle w:val="Normal"/>
        <w:spacing w:before="0" w:after="160"/>
        <w:jc w:val="both"/>
        <w:rPr>
          <w:b/>
          <w:i/>
          <w:i/>
        </w:rPr>
      </w:pPr>
      <w:r>
        <w:rPr>
          <w:b/>
          <w:i/>
        </w:rPr>
        <w:t xml:space="preserve"> </w:t>
      </w:r>
      <w:r>
        <w:rPr>
          <w:b/>
          <w:i/>
        </w:rPr>
        <w:br/>
      </w:r>
    </w:p>
    <w:sectPr>
      <w:headerReference w:type="default" r:id="rId2"/>
      <w:type w:val="nextPage"/>
      <w:pgSz w:w="11906" w:h="16838"/>
      <w:pgMar w:left="1134" w:right="1134" w:gutter="0" w:header="708"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Times">
    <w:altName w:val="Times New Roman"/>
    <w:charset w:val="00"/>
    <w:family w:val="roman"/>
    <w:pitch w:val="variable"/>
  </w:font>
  <w:font w:name="Wingdings 2">
    <w:charset w:val="00"/>
    <w:family w:val="roman"/>
    <w:pitch w:val="variable"/>
  </w:font>
  <w:font w:name="Garamond">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b/>
      </w:rPr>
    </w:pPr>
    <w:r>
      <w:rPr/>
      <w:tab/>
    </w:r>
    <w:r>
      <w:drawing>
        <wp:anchor behindDoc="1" distT="0" distB="0" distL="0" distR="0" simplePos="0" locked="0" layoutInCell="0" allowOverlap="1" relativeHeight="4">
          <wp:simplePos x="0" y="0"/>
          <wp:positionH relativeFrom="column">
            <wp:posOffset>155575</wp:posOffset>
          </wp:positionH>
          <wp:positionV relativeFrom="paragraph">
            <wp:posOffset>55880</wp:posOffset>
          </wp:positionV>
          <wp:extent cx="6324600" cy="749935"/>
          <wp:effectExtent l="0" t="0" r="0" b="0"/>
          <wp:wrapSquare wrapText="largest"/>
          <wp:docPr id="1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1" descr=""/>
                  <pic:cNvPicPr>
                    <a:picLocks noChangeAspect="1" noChangeArrowheads="1"/>
                  </pic:cNvPicPr>
                </pic:nvPicPr>
                <pic:blipFill>
                  <a:blip r:embed="rId1"/>
                  <a:srcRect l="-85" t="11140" r="-85" b="-624"/>
                  <a:stretch>
                    <a:fillRect/>
                  </a:stretch>
                </pic:blipFill>
                <pic:spPr bwMode="auto">
                  <a:xfrm>
                    <a:off x="0" y="0"/>
                    <a:ext cx="6324600" cy="749935"/>
                  </a:xfrm>
                  <a:prstGeom prst="rect">
                    <a:avLst/>
                  </a:prstGeom>
                </pic:spPr>
              </pic:pic>
            </a:graphicData>
          </a:graphic>
        </wp:anchor>
      </w:drawing>
    </w:r>
    <w:r>
      <w:rPr/>
      <w:tab/>
    </w:r>
  </w:p>
  <w:p>
    <w:pPr>
      <w:pStyle w:val="Intestazione"/>
      <w:rPr>
        <w:b/>
      </w:rPr>
    </w:pPr>
    <w:r>
      <w:rPr>
        <w:b/>
      </w:rPr>
    </w:r>
  </w:p>
  <w:p>
    <w:pPr>
      <w:pStyle w:val="Intestazione"/>
      <w:rPr>
        <w:b/>
      </w:rPr>
    </w:pPr>
    <w:r>
      <w:rPr>
        <w:b/>
      </w:rPr>
    </w:r>
  </w:p>
  <w:p>
    <w:pPr>
      <w:pStyle w:val="Intestazione"/>
      <w:rPr>
        <w:b/>
      </w:rPr>
    </w:pPr>
    <w:r>
      <w:rPr>
        <w:b/>
      </w:rPr>
    </w:r>
  </w:p>
  <w:p>
    <w:pPr>
      <w:pStyle w:val="Intestazione"/>
      <w:rPr>
        <w:b/>
      </w:rPr>
    </w:pPr>
    <w:r>
      <w:rPr>
        <w:b/>
      </w:rPr>
    </w:r>
  </w:p>
  <w:p>
    <w:pPr>
      <w:pStyle w:val="Intestazione"/>
      <w:rPr>
        <w:b/>
      </w:rPr>
    </w:pPr>
    <w:r>
      <w:rPr>
        <w:b/>
      </w:rPr>
    </w:r>
  </w:p>
  <w:p>
    <w:pPr>
      <w:pStyle w:val="Intestazione"/>
      <w:rPr>
        <w:b/>
      </w:rPr>
    </w:pPr>
    <w:r>
      <w:rPr>
        <w:b/>
      </w:rPr>
      <w:t>DICHIARAZIONE DI EQUIVALENZA TUTELE CCNL</w:t>
    </w:r>
  </w:p>
</w:hdr>
</file>

<file path=word/settings.xml><?xml version="1.0" encoding="utf-8"?>
<w:settings xmlns:w="http://schemas.openxmlformats.org/wordprocessingml/2006/main">
  <w:zoom w:percent="12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d977a4"/>
    <w:rPr/>
  </w:style>
  <w:style w:type="character" w:styleId="PidipaginaCarattere" w:customStyle="1">
    <w:name w:val="Piè di pagina Carattere"/>
    <w:basedOn w:val="DefaultParagraphFont"/>
    <w:uiPriority w:val="99"/>
    <w:qFormat/>
    <w:rsid w:val="00d977a4"/>
    <w:rPr/>
  </w:style>
  <w:style w:type="character" w:styleId="TestofumettoCarattere" w:customStyle="1">
    <w:name w:val="Testo fumetto Carattere"/>
    <w:basedOn w:val="DefaultParagraphFont"/>
    <w:link w:val="BalloonText"/>
    <w:uiPriority w:val="99"/>
    <w:semiHidden/>
    <w:qFormat/>
    <w:rsid w:val="005d3b3b"/>
    <w:rPr>
      <w:rFonts w:ascii="Tahoma" w:hAnsi="Tahoma" w:cs="Tahoma"/>
      <w:sz w:val="16"/>
      <w:szCs w:val="16"/>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d977a4"/>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d977a4"/>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5d3b3b"/>
    <w:pPr>
      <w:spacing w:lineRule="auto" w:line="240" w:before="0" w:after="0"/>
    </w:pPr>
    <w:rPr>
      <w:rFonts w:ascii="Tahoma" w:hAnsi="Tahoma" w:cs="Tahoma"/>
      <w:sz w:val="16"/>
      <w:szCs w:val="16"/>
    </w:rPr>
  </w:style>
  <w:style w:type="paragraph" w:styleId="Contenutocornice">
    <w:name w:val="Contenuto cornice"/>
    <w:basedOn w:val="Normal"/>
    <w:qFormat/>
    <w:pPr/>
    <w:rPr/>
  </w:style>
  <w:style w:type="paragraph" w:styleId="Contenutotabella">
    <w:name w:val="Contenuto tabella"/>
    <w:basedOn w:val="Normal"/>
    <w:qFormat/>
    <w:pPr>
      <w:widowControl w:val="false"/>
      <w:suppressLineNumbers/>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Application>LibreOffice/7.5.8.2$Windows_X86_64 LibreOffice_project/f718d63693263970429a68f568db6046aaa9df01</Application>
  <AppVersion>15.0000</AppVersion>
  <Pages>3</Pages>
  <Words>391</Words>
  <Characters>2447</Characters>
  <CharactersWithSpaces>2818</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2023-12-21T09:35:00Z</dcterms:created>
  <dc:creator>Viani Silvia</dc:creator>
  <dc:description/>
  <dc:language>it-IT</dc:language>
  <cp:lastModifiedBy>Giuseppe Parodo</cp:lastModifiedBy>
  <cp:lastPrinted>2023-10-31T08:10:00Z</cp:lastPrinted>
  <dcterms:modified xsi:type="dcterms:W3CDTF">2025-06-11T08:43:31Z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