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
          <w:i/>
          <w:i/>
          <w:highlight w:val="yellow"/>
          <w:u w:val="single"/>
        </w:rPr>
      </w:pPr>
      <w:r>
        <w:rPr>
          <w:rFonts w:eastAsia="Calibri" w:cs="" w:cstheme="minorBidi" w:eastAsiaTheme="minorHAnsi"/>
          <w:b/>
          <w:i/>
          <w:highlight w:val="yellow"/>
          <w:u w:val="single"/>
          <w:shd w:fill="auto" w:val="clear"/>
        </w:rPr>
        <w:t>Da compilare s</w:t>
      </w:r>
      <w:r>
        <w:rPr>
          <w:b/>
          <w:i/>
          <w:highlight w:val="yellow"/>
          <w:u w:val="single"/>
        </w:rPr>
        <w:t>olo in caso di applicazione di CCNL diverso da quello indicato dalla Stazione appaltante</w:t>
      </w:r>
    </w:p>
    <w:p>
      <w:pPr>
        <w:pStyle w:val="Normal"/>
        <w:jc w:val="center"/>
        <w:rPr/>
      </w:pPr>
      <w:r>
        <w:rPr>
          <w:b/>
          <w:color w:val="000000"/>
        </w:rPr>
        <w:t>PROCEDURA APERTA PER L’AFFIDAMENTO DEL SERVIZIO DI PULIZIA DELLE STRADE CON TAGLIO ERBA DELLE CORDONATE E DEI SOTTOMURI E CONFERIMENTO DEI RIFIUTI PRODOTTI  PRESSO  GLI   ECOCENTRI DEL COMUNE DI SASSARI – N. 3 LOTTI.</w:t>
      </w:r>
    </w:p>
    <w:p>
      <w:pPr>
        <w:pStyle w:val="Normal"/>
        <w:spacing w:lineRule="auto" w:line="240" w:before="0" w:after="0"/>
        <w:jc w:val="center"/>
        <w:rPr>
          <w:rFonts w:ascii="Times New Roman" w:hAnsi="Times New Roman"/>
          <w:b/>
          <w:b/>
          <w:u w:val="single"/>
        </w:rPr>
      </w:pPr>
      <w:r>
        <w:rPr>
          <w:rFonts w:ascii="Times New Roman" w:hAnsi="Times New Roman"/>
          <w:b/>
          <w:u w:val="single"/>
        </w:rPr>
      </w:r>
    </w:p>
    <w:p>
      <w:pPr>
        <w:pStyle w:val="Normal"/>
        <w:jc w:val="both"/>
        <w:rPr/>
      </w:pPr>
      <w:r>
        <w:rPr/>
        <w:t>Il Sottoscritto/a,</w:t>
      </w:r>
    </w:p>
    <w:tbl>
      <w:tblPr>
        <w:tblW w:w="9919" w:type="dxa"/>
        <w:jc w:val="left"/>
        <w:tblInd w:w="-5" w:type="dxa"/>
        <w:tblLayout w:type="fixed"/>
        <w:tblCellMar>
          <w:top w:w="55" w:type="dxa"/>
          <w:left w:w="55" w:type="dxa"/>
          <w:bottom w:w="55" w:type="dxa"/>
          <w:right w:w="55" w:type="dxa"/>
        </w:tblCellMar>
      </w:tblPr>
      <w:tblGrid>
        <w:gridCol w:w="4023"/>
        <w:gridCol w:w="5895"/>
      </w:tblGrid>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Nome e Cognome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Nato il e luogo</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0"/>
                <w:szCs w:val="20"/>
                <w:u w:val="none"/>
              </w:rPr>
              <w:t>In qualità di</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Times" w:hAnsi="Times"/>
                <w:b w:val="false"/>
                <w:bCs w:val="false"/>
                <w:i w:val="false"/>
                <w:iCs w:val="false"/>
                <w:strike w:val="false"/>
                <w:dstrike w:val="false"/>
                <w:outline w:val="false"/>
                <w:shadow w:val="false"/>
                <w:color w:val="000000"/>
                <w:sz w:val="16"/>
                <w:szCs w:val="16"/>
                <w:u w:val="none"/>
              </w:rPr>
              <w:t>Legale rappresentante/titolare/procuratore)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Società (inserire denominazione completa)</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Sede legale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 / partita IVA</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bl>
    <w:p>
      <w:pPr>
        <w:pStyle w:val="Normal"/>
        <w:jc w:val="both"/>
        <w:rPr/>
      </w:pPr>
      <w:r>
        <w:rPr/>
      </w:r>
    </w:p>
    <w:p>
      <w:pPr>
        <w:pStyle w:val="Normal"/>
        <w:jc w:val="center"/>
        <w:rPr>
          <w:b/>
          <w:b/>
        </w:rPr>
      </w:pPr>
      <w:r>
        <w:rPr>
          <w:b/>
        </w:rPr>
        <w:t>DICHIARA</w:t>
      </w:r>
    </w:p>
    <w:p>
      <w:pPr>
        <w:pStyle w:val="Normal"/>
        <w:jc w:val="both"/>
        <w:rPr>
          <w:b/>
          <w:b/>
        </w:rPr>
      </w:pPr>
      <w:r>
        <w:rPr>
          <w:b/>
        </w:rPr>
        <w:t xml:space="preserve"> </w:t>
      </w:r>
      <w:r>
        <w:rPr>
          <w:b/>
        </w:rPr>
        <w:t>l’equivalenza delle tutele normative  fra il CCNL _______________ che si intende applicare all’appalto e il CCNL individuato dalla Stazione appaltante  rispetto ai seguenti parametri:</w:t>
      </w:r>
    </w:p>
    <w:p>
      <w:pPr>
        <w:pStyle w:val="Normal"/>
        <w:jc w:val="both"/>
        <w:rPr>
          <w:u w:val="single"/>
        </w:rPr>
      </w:pPr>
      <w:r>
        <w:rPr>
          <w:u w:val="single"/>
        </w:rPr>
      </w:r>
    </w:p>
    <w:p>
      <w:pPr>
        <w:pStyle w:val="Normal"/>
        <w:jc w:val="both"/>
        <w:rPr>
          <w:u w:val="single"/>
        </w:rPr>
      </w:pPr>
      <w:r>
        <w:rPr>
          <w:u w:val="single"/>
        </w:rPr>
        <w:t>PARTE ECONOMICA (compilare i seguenti campi):</w:t>
      </w:r>
    </w:p>
    <w:tbl>
      <w:tblPr>
        <w:tblW w:w="9919" w:type="dxa"/>
        <w:jc w:val="left"/>
        <w:tblInd w:w="-5" w:type="dxa"/>
        <w:tblLayout w:type="fixed"/>
        <w:tblCellMar>
          <w:top w:w="55" w:type="dxa"/>
          <w:left w:w="55" w:type="dxa"/>
          <w:bottom w:w="55" w:type="dxa"/>
          <w:right w:w="55" w:type="dxa"/>
        </w:tblCellMar>
      </w:tblPr>
      <w:tblGrid>
        <w:gridCol w:w="4818"/>
        <w:gridCol w:w="5100"/>
      </w:tblGrid>
      <w:tr>
        <w:trPr/>
        <w:tc>
          <w:tcPr>
            <w:tcW w:w="4818" w:type="dxa"/>
            <w:tcBorders>
              <w:top w:val="single" w:sz="4" w:space="0" w:color="000000"/>
              <w:left w:val="single" w:sz="4" w:space="0" w:color="000000"/>
              <w:bottom w:val="single" w:sz="4" w:space="0" w:color="000000"/>
            </w:tcBorders>
          </w:tcPr>
          <w:p>
            <w:pPr>
              <w:pStyle w:val="Normal"/>
              <w:widowControl w:val="false"/>
              <w:spacing w:before="0" w:after="160"/>
              <w:jc w:val="both"/>
              <w:rPr/>
            </w:pPr>
            <w:r>
              <w:rPr/>
              <w:t>a) retribuzione tabellare annuale:</w:t>
            </w:r>
          </w:p>
        </w:tc>
        <w:tc>
          <w:tcPr>
            <w:tcW w:w="5100"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b) indennità di contingenza:</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c) elemento distinto della retribuzione (EDR):</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d) eventuali mensilità aggiuntive: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e) eventuali ulteriori indennità previste: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bl>
    <w:p>
      <w:pPr>
        <w:pStyle w:val="Normal"/>
        <w:jc w:val="both"/>
        <w:rPr/>
      </w:pPr>
      <w:r>
        <w:rPr/>
      </w:r>
    </w:p>
    <w:p>
      <w:pPr>
        <w:pStyle w:val="Normal"/>
        <w:jc w:val="both"/>
        <w:rPr>
          <w:u w:val="single"/>
        </w:rPr>
      </w:pPr>
      <w:r>
        <w:rPr>
          <w:u w:val="single"/>
        </w:rPr>
        <w:t xml:space="preserve">PARTE NORMATIVA: </w:t>
      </w:r>
      <w:r>
        <w:rPr>
          <w:b w:val="false"/>
          <w:bCs w:val="false"/>
          <w:i/>
          <w:sz w:val="20"/>
          <w:szCs w:val="20"/>
          <w:u w:val="single"/>
        </w:rPr>
        <w:t>(barrare ove vi è equivalenza e indicare gli articoli applicati)</w:t>
      </w:r>
    </w:p>
    <w:p>
      <w:pPr>
        <w:pStyle w:val="Normal"/>
        <w:jc w:val="both"/>
        <w:rPr/>
      </w:pPr>
      <w:r>
        <w:rPr>
          <w:rFonts w:eastAsia="Wingdings 2" w:cs="Wingdings 2" w:ascii="Wingdings 2" w:hAnsi="Wingdings 2"/>
        </w:rPr>
        <w:t xml:space="preserve"> </w:t>
      </w:r>
      <w:r>
        <w:rPr/>
        <w:t>la disciplina concernente il lavoro supplementare e le clausole elastiche nel part-time;</w:t>
      </w:r>
    </w:p>
    <w:p>
      <w:pPr>
        <w:pStyle w:val="Normal"/>
        <w:jc w:val="both"/>
        <w:rPr/>
      </w:pPr>
      <w:r>
        <w:rPr/>
        <mc:AlternateContent>
          <mc:Choice Requires="wps">
            <w:drawing>
              <wp:anchor behindDoc="0" distT="3175" distB="3175" distL="3810" distR="2540" simplePos="0" locked="0" layoutInCell="0" allowOverlap="1" relativeHeight="2" wp14:anchorId="6116F9E4">
                <wp:simplePos x="0" y="0"/>
                <wp:positionH relativeFrom="column">
                  <wp:posOffset>30480</wp:posOffset>
                </wp:positionH>
                <wp:positionV relativeFrom="paragraph">
                  <wp:posOffset>10795</wp:posOffset>
                </wp:positionV>
                <wp:extent cx="6288405" cy="655320"/>
                <wp:effectExtent l="3810" t="3175" r="2540" b="3175"/>
                <wp:wrapNone/>
                <wp:docPr id="1" name="Casella di testo 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jc w:val="both"/>
                              <w:rPr>
                                <w:color w:val="000000"/>
                              </w:rPr>
                            </w:pPr>
                            <w:r>
                              <w:rPr>
                                <w:color w:val="000000"/>
                              </w:rPr>
                              <w:t>Indica i seguenti articoli del CCNL applicato:</w:t>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4pt;margin-top:0.85pt;width:495.1pt;height:51.55pt;mso-wrap-style:square;v-text-anchor:top" wp14:anchorId="6116F9E4">
                <v:fill o:detectmouseclick="t" type="solid" color2="black"/>
                <v:stroke color="black" weight="6480" joinstyle="round" endcap="flat"/>
                <v:textbox>
                  <w:txbxContent>
                    <w:p>
                      <w:pPr>
                        <w:pStyle w:val="Contenutocornice"/>
                        <w:spacing w:before="0" w:after="160"/>
                        <w:jc w:val="both"/>
                        <w:rPr>
                          <w:color w:val="000000"/>
                        </w:rPr>
                      </w:pPr>
                      <w:r>
                        <w:rPr>
                          <w:color w:val="000000"/>
                        </w:rPr>
                        <w:t>Indica i seguenti articoli del CCNL applicato:</w:t>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e la disciplina compensativa relativa alle festività soppresse;</w:t>
      </w:r>
    </w:p>
    <w:p>
      <w:pPr>
        <w:pStyle w:val="Normal"/>
        <w:jc w:val="both"/>
        <w:rPr/>
      </w:pPr>
      <w:r>
        <w:rPr/>
        <mc:AlternateContent>
          <mc:Choice Requires="wps">
            <w:drawing>
              <wp:anchor behindDoc="0" distT="3175" distB="3175" distL="3810" distR="2540" simplePos="0" locked="0" layoutInCell="0" allowOverlap="1" relativeHeight="4" wp14:anchorId="6F21563D">
                <wp:simplePos x="0" y="0"/>
                <wp:positionH relativeFrom="column">
                  <wp:posOffset>0</wp:posOffset>
                </wp:positionH>
                <wp:positionV relativeFrom="paragraph">
                  <wp:posOffset>635</wp:posOffset>
                </wp:positionV>
                <wp:extent cx="6288405" cy="655320"/>
                <wp:effectExtent l="3810" t="3175" r="2540" b="3175"/>
                <wp:wrapNone/>
                <wp:docPr id="3" name="Casella di testo 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0pt;margin-top:0.05pt;width:495.1pt;height:51.55pt;mso-wrap-style:square;v-text-anchor:top" wp14:anchorId="6F21563D">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t>- la disciplina compensativa delle ex festività soppresse, che normalmente avviene attraverso il riconoscimento di permessi individuali;</w:t>
      </w:r>
    </w:p>
    <w:p>
      <w:pPr>
        <w:pStyle w:val="Normal"/>
        <w:jc w:val="both"/>
        <w:rPr/>
      </w:pPr>
      <w:r>
        <w:rPr>
          <w:rFonts w:eastAsia="Wingdings 2" w:cs="Wingdings 2" w:ascii="Wingdings 2" w:hAnsi="Wingdings 2"/>
        </w:rPr>
        <w:t xml:space="preserve"> </w:t>
      </w:r>
      <w:r>
        <w:rPr/>
        <w:t>la durata del periodo di prova;</w:t>
      </w:r>
    </w:p>
    <w:p>
      <w:pPr>
        <w:pStyle w:val="Normal"/>
        <w:jc w:val="both"/>
        <w:rPr/>
      </w:pPr>
      <w:r>
        <w:rPr/>
        <mc:AlternateContent>
          <mc:Choice Requires="wps">
            <w:drawing>
              <wp:anchor behindDoc="0" distT="3175" distB="3175" distL="3810" distR="2540" simplePos="0" locked="0" layoutInCell="0" allowOverlap="1" relativeHeight="6" wp14:anchorId="3EC74DF8">
                <wp:simplePos x="0" y="0"/>
                <wp:positionH relativeFrom="column">
                  <wp:posOffset>0</wp:posOffset>
                </wp:positionH>
                <wp:positionV relativeFrom="paragraph">
                  <wp:posOffset>635</wp:posOffset>
                </wp:positionV>
                <wp:extent cx="6288405" cy="655320"/>
                <wp:effectExtent l="3810" t="3175" r="2540" b="3175"/>
                <wp:wrapNone/>
                <wp:docPr id="5" name="Casella di testo 5"/>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5" path="m0,0l-2147483645,0l-2147483645,-2147483646l0,-2147483646xe" fillcolor="white" stroked="t" o:allowincell="f" style="position:absolute;margin-left:0pt;margin-top:0.05pt;width:495.1pt;height:51.55pt;mso-wrap-style:square;v-text-anchor:top" wp14:anchorId="3EC74DF8">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durata del periodo di preavviso;</w:t>
      </w:r>
    </w:p>
    <w:p>
      <w:pPr>
        <w:pStyle w:val="Normal"/>
        <w:jc w:val="both"/>
        <w:rPr/>
      </w:pPr>
      <w:r>
        <w:rPr/>
        <mc:AlternateContent>
          <mc:Choice Requires="wps">
            <w:drawing>
              <wp:anchor behindDoc="0" distT="3175" distB="3175" distL="3810" distR="2540" simplePos="0" locked="0" layoutInCell="0" allowOverlap="1" relativeHeight="8" wp14:anchorId="4A83EA19">
                <wp:simplePos x="0" y="0"/>
                <wp:positionH relativeFrom="column">
                  <wp:posOffset>0</wp:posOffset>
                </wp:positionH>
                <wp:positionV relativeFrom="paragraph">
                  <wp:posOffset>635</wp:posOffset>
                </wp:positionV>
                <wp:extent cx="6288405" cy="655320"/>
                <wp:effectExtent l="3810" t="3175" r="2540" b="3175"/>
                <wp:wrapNone/>
                <wp:docPr id="7" name="Casella di testo 6"/>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6" path="m0,0l-2147483645,0l-2147483645,-2147483646l0,-2147483646xe" fillcolor="white" stroked="t" o:allowincell="f" style="position:absolute;margin-left:0pt;margin-top:0.05pt;width:495.1pt;height:51.55pt;mso-wrap-style:square;v-text-anchor:top" wp14:anchorId="4A83EA1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durata del periodo di comporto in caso di malattia e infortunio;</w:t>
      </w:r>
    </w:p>
    <w:p>
      <w:pPr>
        <w:pStyle w:val="Normal"/>
        <w:jc w:val="both"/>
        <w:rPr/>
      </w:pPr>
      <w:r>
        <w:rPr/>
        <mc:AlternateContent>
          <mc:Choice Requires="wps">
            <w:drawing>
              <wp:anchor behindDoc="0" distT="3175" distB="3175" distL="3810" distR="2540" simplePos="0" locked="0" layoutInCell="0" allowOverlap="1" relativeHeight="10" wp14:anchorId="640A8B29">
                <wp:simplePos x="0" y="0"/>
                <wp:positionH relativeFrom="column">
                  <wp:posOffset>0</wp:posOffset>
                </wp:positionH>
                <wp:positionV relativeFrom="paragraph">
                  <wp:posOffset>-635</wp:posOffset>
                </wp:positionV>
                <wp:extent cx="6288405" cy="655320"/>
                <wp:effectExtent l="3810" t="3175" r="2540" b="3175"/>
                <wp:wrapNone/>
                <wp:docPr id="9" name="Casella di testo 7"/>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7" path="m0,0l-2147483645,0l-2147483645,-2147483646l0,-2147483646xe" fillcolor="white" stroked="t" o:allowincell="f" style="position:absolute;margin-left:0pt;margin-top:-0.05pt;width:495.1pt;height:51.55pt;mso-wrap-style:square;v-text-anchor:top" wp14:anchorId="640A8B2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rFonts w:ascii="Wingdings 2" w:hAnsi="Wingdings 2" w:eastAsia="Wingdings 2" w:cs="Wingdings 2"/>
        </w:rPr>
      </w:pPr>
      <w:r>
        <w:rPr>
          <w:rFonts w:eastAsia="Wingdings 2" w:cs="Wingdings 2" w:ascii="Wingdings 2" w:hAnsi="Wingdings 2"/>
        </w:rPr>
      </w:r>
    </w:p>
    <w:p>
      <w:pPr>
        <w:pStyle w:val="Normal"/>
        <w:jc w:val="both"/>
        <w:rPr/>
      </w:pPr>
      <w:r>
        <w:rPr>
          <w:rFonts w:eastAsia="Wingdings 2" w:cs="Wingdings 2" w:ascii="Wingdings 2" w:hAnsi="Wingdings 2"/>
        </w:rPr>
        <w:t xml:space="preserve"> </w:t>
      </w:r>
      <w:r>
        <w:rPr/>
        <w:t>malattia e infortunio, con particolare riferimento al riconoscimento di un’eventuale integrazione delle relative indennità;</w:t>
      </w:r>
    </w:p>
    <w:p>
      <w:pPr>
        <w:pStyle w:val="Normal"/>
        <w:jc w:val="both"/>
        <w:rPr/>
      </w:pPr>
      <w:r>
        <w:rPr/>
        <mc:AlternateContent>
          <mc:Choice Requires="wps">
            <w:drawing>
              <wp:anchor behindDoc="0" distT="3175" distB="3175" distL="3810" distR="2540" simplePos="0" locked="0" layoutInCell="0" allowOverlap="1" relativeHeight="12" wp14:anchorId="4F9A8516">
                <wp:simplePos x="0" y="0"/>
                <wp:positionH relativeFrom="column">
                  <wp:posOffset>0</wp:posOffset>
                </wp:positionH>
                <wp:positionV relativeFrom="paragraph">
                  <wp:posOffset>-635</wp:posOffset>
                </wp:positionV>
                <wp:extent cx="6288405" cy="655320"/>
                <wp:effectExtent l="3810" t="3175" r="2540" b="3175"/>
                <wp:wrapNone/>
                <wp:docPr id="11" name="Casella di testo 9"/>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0pt;margin-top:-0.05pt;width:495.1pt;height:51.55pt;mso-wrap-style:square;v-text-anchor:top" wp14:anchorId="4F9A85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maternità ed eventuale riconoscimento di un’integrazione della relativa indennità per astensione obbligatoria e facoltativa;</w:t>
      </w:r>
    </w:p>
    <w:p>
      <w:pPr>
        <w:pStyle w:val="Normal"/>
        <w:jc w:val="both"/>
        <w:rPr/>
      </w:pPr>
      <w:r>
        <w:rPr/>
        <mc:AlternateContent>
          <mc:Choice Requires="wps">
            <w:drawing>
              <wp:anchor behindDoc="0" distT="3175" distB="3175" distL="3810" distR="2540" simplePos="0" locked="0" layoutInCell="0" allowOverlap="1" relativeHeight="14" wp14:anchorId="2425A566">
                <wp:simplePos x="0" y="0"/>
                <wp:positionH relativeFrom="column">
                  <wp:posOffset>0</wp:posOffset>
                </wp:positionH>
                <wp:positionV relativeFrom="paragraph">
                  <wp:posOffset>635</wp:posOffset>
                </wp:positionV>
                <wp:extent cx="6288405" cy="655320"/>
                <wp:effectExtent l="3810" t="3175" r="2540" b="3175"/>
                <wp:wrapNone/>
                <wp:docPr id="13" name="Casella di testo 10"/>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0" path="m0,0l-2147483645,0l-2147483645,-2147483646l0,-2147483646xe" fillcolor="white" stroked="t" o:allowincell="f" style="position:absolute;margin-left:0pt;margin-top:0.05pt;width:495.1pt;height:51.55pt;mso-wrap-style:square;v-text-anchor:top" wp14:anchorId="2425A56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monte ore di permessi retribuiti;</w:t>
      </w:r>
    </w:p>
    <w:p>
      <w:pPr>
        <w:pStyle w:val="Normal"/>
        <w:jc w:val="both"/>
        <w:rPr/>
      </w:pPr>
      <w:r>
        <w:rPr/>
        <mc:AlternateContent>
          <mc:Choice Requires="wps">
            <w:drawing>
              <wp:anchor behindDoc="0" distT="3175" distB="3175" distL="3810" distR="2540" simplePos="0" locked="0" layoutInCell="0" allowOverlap="1" relativeHeight="16" wp14:anchorId="6671A547">
                <wp:simplePos x="0" y="0"/>
                <wp:positionH relativeFrom="column">
                  <wp:posOffset>0</wp:posOffset>
                </wp:positionH>
                <wp:positionV relativeFrom="paragraph">
                  <wp:posOffset>-635</wp:posOffset>
                </wp:positionV>
                <wp:extent cx="6288405" cy="655320"/>
                <wp:effectExtent l="3810" t="3175" r="2540" b="3175"/>
                <wp:wrapNone/>
                <wp:docPr id="15" name="Casella di testo 1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1" path="m0,0l-2147483645,0l-2147483645,-2147483646l0,-2147483646xe" fillcolor="white" stroked="t" o:allowincell="f" style="position:absolute;margin-left:0pt;margin-top:-0.05pt;width:495.1pt;height:51.55pt;mso-wrap-style:square;v-text-anchor:top" wp14:anchorId="6671A54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bilateralità;</w:t>
      </w:r>
    </w:p>
    <w:p>
      <w:pPr>
        <w:pStyle w:val="Normal"/>
        <w:jc w:val="both"/>
        <w:rPr/>
      </w:pPr>
      <w:r>
        <w:rPr/>
        <mc:AlternateContent>
          <mc:Choice Requires="wps">
            <w:drawing>
              <wp:anchor behindDoc="0" distT="3175" distB="3175" distL="3810" distR="2540" simplePos="0" locked="0" layoutInCell="0" allowOverlap="1" relativeHeight="18" wp14:anchorId="64A81C16">
                <wp:simplePos x="0" y="0"/>
                <wp:positionH relativeFrom="column">
                  <wp:posOffset>0</wp:posOffset>
                </wp:positionH>
                <wp:positionV relativeFrom="paragraph">
                  <wp:posOffset>-635</wp:posOffset>
                </wp:positionV>
                <wp:extent cx="6288405" cy="655320"/>
                <wp:effectExtent l="3810" t="3175" r="2540" b="3175"/>
                <wp:wrapNone/>
                <wp:docPr id="17" name="Casella di testo 1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2" path="m0,0l-2147483645,0l-2147483645,-2147483646l0,-2147483646xe" fillcolor="white" stroked="t" o:allowincell="f" style="position:absolute;margin-left:0pt;margin-top:-0.05pt;width:495.1pt;height:51.55pt;mso-wrap-style:square;v-text-anchor:top" wp14:anchorId="64A81C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previdenza integrativa;</w:t>
      </w:r>
    </w:p>
    <w:p>
      <w:pPr>
        <w:pStyle w:val="Normal"/>
        <w:jc w:val="both"/>
        <w:rPr/>
      </w:pPr>
      <w:r>
        <w:rPr/>
        <mc:AlternateContent>
          <mc:Choice Requires="wps">
            <w:drawing>
              <wp:anchor behindDoc="0" distT="3175" distB="3175" distL="3810" distR="2540" simplePos="0" locked="0" layoutInCell="0" allowOverlap="1" relativeHeight="20" wp14:anchorId="5EBC23D7">
                <wp:simplePos x="0" y="0"/>
                <wp:positionH relativeFrom="column">
                  <wp:posOffset>0</wp:posOffset>
                </wp:positionH>
                <wp:positionV relativeFrom="paragraph">
                  <wp:posOffset>635</wp:posOffset>
                </wp:positionV>
                <wp:extent cx="6288405" cy="655320"/>
                <wp:effectExtent l="3810" t="3175" r="2540" b="3175"/>
                <wp:wrapNone/>
                <wp:docPr id="19" name="Casella di testo 13"/>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3" path="m0,0l-2147483645,0l-2147483645,-2147483646l0,-2147483646xe" fillcolor="white" stroked="t" o:allowincell="f" style="position:absolute;margin-left:0pt;margin-top:0.05pt;width:495.1pt;height:51.55pt;mso-wrap-style:square;v-text-anchor:top" wp14:anchorId="5EBC23D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sanità integrativa;</w:t>
      </w:r>
    </w:p>
    <w:p>
      <w:pPr>
        <w:pStyle w:val="Normal"/>
        <w:jc w:val="both"/>
        <w:rPr/>
      </w:pPr>
      <w:r>
        <w:rPr/>
        <mc:AlternateContent>
          <mc:Choice Requires="wps">
            <w:drawing>
              <wp:anchor behindDoc="0" distT="3175" distB="3175" distL="3810" distR="2540" simplePos="0" locked="0" layoutInCell="0" allowOverlap="1" relativeHeight="22" wp14:anchorId="146D467F">
                <wp:simplePos x="0" y="0"/>
                <wp:positionH relativeFrom="column">
                  <wp:posOffset>0</wp:posOffset>
                </wp:positionH>
                <wp:positionV relativeFrom="paragraph">
                  <wp:posOffset>635</wp:posOffset>
                </wp:positionV>
                <wp:extent cx="6288405" cy="655320"/>
                <wp:effectExtent l="3810" t="3175" r="2540" b="3175"/>
                <wp:wrapNone/>
                <wp:docPr id="21" name="Casella di testo 14"/>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4" path="m0,0l-2147483645,0l-2147483645,-2147483646l0,-2147483646xe" fillcolor="white" stroked="t" o:allowincell="f" style="position:absolute;margin-left:0pt;margin-top:0.05pt;width:495.1pt;height:51.55pt;mso-wrap-style:square;v-text-anchor:top" wp14:anchorId="146D467F">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b/>
          <w:b/>
        </w:rPr>
      </w:pPr>
      <w:r>
        <w:rPr>
          <w:b/>
        </w:rPr>
      </w:r>
    </w:p>
    <w:p>
      <w:pPr>
        <w:pStyle w:val="Normal"/>
        <w:jc w:val="both"/>
        <w:rPr>
          <w:b/>
          <w:b/>
        </w:rPr>
      </w:pPr>
      <w:r>
        <w:rPr>
          <w:b/>
        </w:rPr>
      </w:r>
    </w:p>
    <w:p>
      <w:pPr>
        <w:pStyle w:val="Normal"/>
        <w:jc w:val="both"/>
        <w:rPr/>
      </w:pPr>
      <w:r>
        <w:rPr/>
      </w:r>
    </w:p>
    <w:p>
      <w:pPr>
        <w:pStyle w:val="Normal"/>
        <w:jc w:val="both"/>
        <w:rPr>
          <w:b/>
          <w:b/>
        </w:rPr>
      </w:pPr>
      <w:r>
        <w:rPr>
          <w:b/>
        </w:rPr>
        <w:t>Il concorrente allega copia del CCNL applicato.</w:t>
      </w:r>
    </w:p>
    <w:p>
      <w:pPr>
        <w:pStyle w:val="Normal"/>
        <w:ind w:left="5664" w:firstLine="708"/>
        <w:jc w:val="both"/>
        <w:rPr>
          <w:rFonts w:ascii="Garamond" w:hAnsi="Garamond"/>
        </w:rPr>
      </w:pPr>
      <w:r>
        <w:rPr>
          <w:rFonts w:ascii="Garamond" w:hAnsi="Garamond"/>
        </w:rPr>
        <w:t>Firma digitale</w:t>
      </w:r>
    </w:p>
    <w:p>
      <w:pPr>
        <w:pStyle w:val="Normal"/>
        <w:ind w:left="4828" w:hanging="0"/>
        <w:jc w:val="both"/>
        <w:rPr>
          <w:rFonts w:ascii="Garamond" w:hAnsi="Garamond"/>
        </w:rPr>
      </w:pPr>
      <w:r>
        <w:rPr>
          <w:rFonts w:ascii="Garamond" w:hAnsi="Garamond"/>
        </w:rPr>
        <w:tab/>
        <w:tab/>
        <w:tab/>
        <w:tab/>
        <w:tab/>
        <w:tab/>
        <w:tab/>
        <w:tab/>
        <w:t xml:space="preserve">        ______________________________________</w:t>
      </w:r>
    </w:p>
    <w:p>
      <w:pPr>
        <w:pStyle w:val="Normal"/>
        <w:spacing w:before="0" w:after="160"/>
        <w:jc w:val="both"/>
        <w:rPr>
          <w:b/>
          <w:b/>
          <w:i/>
          <w:i/>
        </w:rPr>
      </w:pPr>
      <w:r>
        <w:rPr>
          <w:b/>
          <w:i/>
        </w:rPr>
        <w:t xml:space="preserve"> </w:t>
      </w:r>
      <w:r>
        <w:rPr>
          <w:b/>
          <w:i/>
        </w:rPr>
        <w:br/>
      </w:r>
    </w:p>
    <w:sectPr>
      <w:headerReference w:type="default" r:id="rId2"/>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Times">
    <w:altName w:val="Times New Roman"/>
    <w:charset w:val="00"/>
    <w:family w:val="roman"/>
    <w:pitch w:val="variable"/>
  </w:font>
  <w:font w:name="Wingdings 2">
    <w:charset w:val="00"/>
    <w:family w:val="roman"/>
    <w:pitch w:val="variable"/>
  </w:font>
  <w:font w:name="Garamond">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b/>
        <w:b/>
      </w:rPr>
    </w:pPr>
    <w:r>
      <w:rPr/>
      <w:tab/>
      <w:tab/>
    </w:r>
    <w:r>
      <w:rPr>
        <w:rFonts w:eastAsia="Calibri" w:cs="" w:cstheme="minorBidi" w:eastAsiaTheme="minorHAnsi"/>
        <w:b/>
        <w:i/>
        <w:u w:val="single"/>
        <w:shd w:fill="auto" w:val="clear"/>
      </w:rPr>
      <w:t xml:space="preserve">Mod 6 </w:t>
    </w:r>
  </w:p>
  <w:p>
    <w:pPr>
      <w:pStyle w:val="Intestazione"/>
      <w:rPr>
        <w:b/>
        <w:b/>
      </w:rPr>
    </w:pPr>
    <w:r>
      <w:rPr>
        <w:b/>
      </w:rPr>
      <w:t>DICHIARAZIONE DI EQUIVALENZA TUTELE CCNL</w:t>
    </w:r>
  </w:p>
</w:hdr>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d977a4"/>
    <w:rPr/>
  </w:style>
  <w:style w:type="character" w:styleId="PidipaginaCarattere" w:customStyle="1">
    <w:name w:val="Piè di pagina Carattere"/>
    <w:basedOn w:val="DefaultParagraphFont"/>
    <w:uiPriority w:val="99"/>
    <w:qFormat/>
    <w:rsid w:val="00d977a4"/>
    <w:rPr/>
  </w:style>
  <w:style w:type="character" w:styleId="TestofumettoCarattere" w:customStyle="1">
    <w:name w:val="Testo fumetto Carattere"/>
    <w:basedOn w:val="DefaultParagraphFont"/>
    <w:link w:val="BalloonText"/>
    <w:uiPriority w:val="99"/>
    <w:semiHidden/>
    <w:qFormat/>
    <w:rsid w:val="005d3b3b"/>
    <w:rPr>
      <w:rFonts w:ascii="Tahoma" w:hAnsi="Tahoma" w:cs="Tahoma"/>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977a4"/>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977a4"/>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5d3b3b"/>
    <w:pPr>
      <w:spacing w:lineRule="auto" w:line="240" w:before="0" w:after="0"/>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widowControl w:val="false"/>
      <w:suppressLineNumber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LibreOffice/7.4.7.2$Windows_X86_64 LibreOffice_project/723314e595e8007d3cf785c16538505a1c878ca5</Application>
  <AppVersion>15.0000</AppVersion>
  <Pages>3</Pages>
  <Words>389</Words>
  <Characters>2404</Characters>
  <CharactersWithSpaces>2775</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2023-12-21T09:35:00Z</dcterms:created>
  <dc:creator>Viani Silvia</dc:creator>
  <dc:description/>
  <dc:language>it-IT</dc:language>
  <cp:lastModifiedBy/>
  <cp:lastPrinted>2023-10-31T08:10:00Z</cp:lastPrinted>
  <dcterms:modified xsi:type="dcterms:W3CDTF">2025-03-25T14:29:17Z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